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735D84">
        <w:rPr>
          <w:rFonts w:ascii="微軟正黑體" w:eastAsia="微軟正黑體" w:hAnsi="微軟正黑體" w:cs="微軟正黑體" w:hint="eastAsia"/>
          <w:b/>
          <w:sz w:val="36"/>
          <w:szCs w:val="36"/>
        </w:rPr>
        <w:t>物理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35D84" w:rsidRPr="00735D84" w:rsidTr="00293478">
        <w:trPr>
          <w:trHeight w:val="835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2F53B2" w:rsidP="00735D84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206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b/>
              </w:rPr>
              <w:t>207209</w:t>
            </w:r>
          </w:p>
        </w:tc>
        <w:tc>
          <w:tcPr>
            <w:tcW w:w="1701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478" w:hangingChars="200" w:hanging="480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一、以學生日常生活之體驗，及既有之知識或經驗為基礎，多舉實例以引起學生學習的動機，進而引導學生發現問題，推理分析，歸納或演繹，以迄問題之解決，達成習得新知識或新概念的教學目標。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735D84" w:rsidRPr="00735D84" w:rsidRDefault="00735D84" w:rsidP="00735D84">
            <w:pPr>
              <w:ind w:left="478" w:hangingChars="200" w:hanging="480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二、注意教導學生在科學方法的應用和科學態度的培養。科學方法包括觀察、分類、測量、傳達、數字的運用、時空關係的運用、預測、推理、解釋資料、控制變因、建立假設、設計實驗等項。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一、課本。</w:t>
            </w:r>
          </w:p>
          <w:p w:rsidR="00735D84" w:rsidRPr="00735D84" w:rsidRDefault="00735D84" w:rsidP="00735D84">
            <w:pPr>
              <w:ind w:left="0" w:hanging="2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二、上課講義。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ascii="標楷體" w:eastAsia="標楷體" w:hAnsi="標楷體" w:hint="eastAsia"/>
              </w:rPr>
              <w:t>習作</w:t>
            </w:r>
          </w:p>
        </w:tc>
      </w:tr>
      <w:tr w:rsidR="00735D84" w:rsidRPr="00735D84" w:rsidTr="00293478">
        <w:trPr>
          <w:trHeight w:val="862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735D84">
              <w:rPr>
                <w:rFonts w:ascii="標楷體" w:eastAsia="標楷體" w:hAnsi="標楷體" w:hint="eastAsia"/>
              </w:rPr>
              <w:t>態度(40%) 平常考作業(60%)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735D84">
              <w:rPr>
                <w:rFonts w:eastAsia="標楷體" w:hint="eastAsia"/>
              </w:rPr>
              <w:t>第一次段</w:t>
            </w:r>
            <w:r w:rsidRPr="00735D84">
              <w:rPr>
                <w:rFonts w:eastAsia="標楷體" w:hint="eastAsia"/>
              </w:rPr>
              <w:t>2</w:t>
            </w:r>
            <w:r w:rsidRPr="00735D84">
              <w:rPr>
                <w:rFonts w:ascii="標楷體" w:eastAsia="標楷體" w:hAnsi="標楷體" w:hint="eastAsia"/>
              </w:rPr>
              <w:t>0％，第二次段考20％，期末考30％，平時成績30％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一、著重科學概念的融會貫通和運用，避免灌輸零碎、片斷的知識。</w:t>
            </w:r>
          </w:p>
          <w:p w:rsidR="00735D84" w:rsidRPr="00735D84" w:rsidRDefault="00735D84" w:rsidP="00735D84">
            <w:pPr>
              <w:ind w:left="478" w:hangingChars="200" w:hanging="480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二、鼓勵學習，激發潛能。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eastAsia="標楷體" w:hint="eastAsia"/>
              </w:rPr>
              <w:t>注意日常作息，保持上課專注。</w:t>
            </w:r>
            <w:r w:rsidRPr="00735D84">
              <w:rPr>
                <w:rFonts w:eastAsia="標楷體"/>
              </w:rPr>
              <w:br/>
            </w:r>
            <w:r w:rsidRPr="00735D84">
              <w:rPr>
                <w:rFonts w:eastAsia="標楷體" w:hint="eastAsia"/>
              </w:rPr>
              <w:t>鼓勵同學多發問。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eastAsia="標楷體" w:hint="eastAsia"/>
              </w:rPr>
              <w:t>22534017</w:t>
            </w:r>
            <w:r w:rsidRPr="00735D84">
              <w:rPr>
                <w:rFonts w:eastAsia="標楷體" w:hint="eastAsia"/>
              </w:rPr>
              <w:t>分機</w:t>
            </w:r>
            <w:r w:rsidRPr="00735D84">
              <w:rPr>
                <w:rFonts w:eastAsia="標楷體" w:hint="eastAsia"/>
              </w:rPr>
              <w:t>219</w:t>
            </w:r>
          </w:p>
        </w:tc>
      </w:tr>
    </w:tbl>
    <w:p w:rsidR="00735D84" w:rsidRDefault="00735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35D84" w:rsidRDefault="00735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35D84" w:rsidRPr="00E73A07" w:rsidRDefault="00735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72B95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B95" w:rsidRPr="00E73A07" w:rsidRDefault="005F6C1F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波　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172B95" w:rsidRPr="00F836FF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172B95" w:rsidRPr="00F836FF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172B95" w:rsidRDefault="00172B95" w:rsidP="00172B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72B95" w:rsidRPr="00E73A07" w:rsidRDefault="00172B95" w:rsidP="00172B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="005F6C1F"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波　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="005F6C1F"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聲　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="005F6C1F"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聲　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="005F6C1F"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 光的干涉與繞射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="005F6C1F"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 光的干涉與繞射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="005F6C1F"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="00213325"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="00213325"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="00213325"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213325"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21332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21332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21332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437429" w:rsidP="0021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213325"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21332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21332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53B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72B95"/>
    <w:rsid w:val="001C6F0F"/>
    <w:rsid w:val="00213325"/>
    <w:rsid w:val="002F53B2"/>
    <w:rsid w:val="00437429"/>
    <w:rsid w:val="004E23C5"/>
    <w:rsid w:val="0056071E"/>
    <w:rsid w:val="005A4FB3"/>
    <w:rsid w:val="005A7DDB"/>
    <w:rsid w:val="005F6C1F"/>
    <w:rsid w:val="00735D84"/>
    <w:rsid w:val="00995C45"/>
    <w:rsid w:val="00A86426"/>
    <w:rsid w:val="00AC618A"/>
    <w:rsid w:val="00B03A64"/>
    <w:rsid w:val="00B85D40"/>
    <w:rsid w:val="00DA2D65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FF8F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96B333-6199-46E6-AAE8-8BF6CEC0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LCNDZ</cp:lastModifiedBy>
  <cp:revision>5</cp:revision>
  <dcterms:created xsi:type="dcterms:W3CDTF">2024-09-06T06:38:00Z</dcterms:created>
  <dcterms:modified xsi:type="dcterms:W3CDTF">2024-09-06T06:49:00Z</dcterms:modified>
</cp:coreProperties>
</file>